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D1B" w:rsidRDefault="00D27BC7" w:rsidP="006E43F6">
      <w:r>
        <w:t xml:space="preserve">    </w:t>
      </w:r>
      <w:r>
        <w:tab/>
      </w:r>
    </w:p>
    <w:p w:rsidR="00717D1B" w:rsidRDefault="00717D1B" w:rsidP="006E43F6"/>
    <w:p w:rsidR="00717D1B" w:rsidRDefault="00717D1B" w:rsidP="006E43F6"/>
    <w:p w:rsidR="00717D1B" w:rsidRDefault="00717D1B" w:rsidP="006E43F6"/>
    <w:p w:rsidR="00717D1B" w:rsidRDefault="00717D1B" w:rsidP="006E43F6"/>
    <w:p w:rsidR="00BC3B07" w:rsidRDefault="00BC3B07" w:rsidP="006E43F6"/>
    <w:p w:rsidR="00BC3B07" w:rsidRDefault="00D27BC7" w:rsidP="00BC3B07">
      <w:pPr>
        <w:jc w:val="center"/>
      </w:pPr>
      <w:r>
        <w:t xml:space="preserve">Private </w:t>
      </w:r>
      <w:r w:rsidR="002A0456">
        <w:t xml:space="preserve">and Public </w:t>
      </w:r>
      <w:r>
        <w:t>Law</w:t>
      </w:r>
    </w:p>
    <w:p w:rsidR="00BC3B07" w:rsidRDefault="00D27BC7" w:rsidP="00BC3B07">
      <w:pPr>
        <w:jc w:val="center"/>
      </w:pPr>
      <w:r>
        <w:t>Name</w:t>
      </w:r>
    </w:p>
    <w:p w:rsidR="00BC3B07" w:rsidRDefault="00D27BC7" w:rsidP="00BC3B07">
      <w:pPr>
        <w:jc w:val="center"/>
      </w:pPr>
      <w:r>
        <w:t>Institutional Affiliation</w:t>
      </w:r>
    </w:p>
    <w:p w:rsidR="00BC3B07" w:rsidRDefault="00BC3B07"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717D1B" w:rsidRDefault="00717D1B" w:rsidP="006E43F6"/>
    <w:p w:rsidR="002A0456" w:rsidRDefault="002A0456" w:rsidP="00BC3B07">
      <w:pPr>
        <w:ind w:firstLine="720"/>
      </w:pPr>
    </w:p>
    <w:p w:rsidR="006E43F6" w:rsidRDefault="00990FBD" w:rsidP="00BC3B07">
      <w:pPr>
        <w:ind w:firstLine="720"/>
      </w:pPr>
      <w:r>
        <w:lastRenderedPageBreak/>
        <w:t>The distinction amid</w:t>
      </w:r>
      <w:r w:rsidR="00D27BC7">
        <w:t xml:space="preserve"> public and private law emerges from the Roman law, which critically regulates the rights between citizens thence known as Ius Civilis (Civil Law). On the same note, ‘Ius Publicum’ (public law) governs the various governmental organs</w:t>
      </w:r>
      <w:r w:rsidR="00D27BC7">
        <w:t xml:space="preserve"> of power. In the United States, Public law is the actual body of </w:t>
      </w:r>
      <w:r w:rsidR="007D342E">
        <w:t>law, which</w:t>
      </w:r>
      <w:r w:rsidR="00D27BC7">
        <w:t xml:space="preserve"> regulates the relations between citizens and the state. Holistically, public ruling deals with the operation and structure of the government. Also, it covers tax law, constitutiona</w:t>
      </w:r>
      <w:r w:rsidR="00D27BC7">
        <w:t xml:space="preserve">l law, criminal law, and administrative law. On the other hand, private law is the section of the code that deals explicitly with relationships of individuals that in this case have no direct concern to the state. For instance, private law encompasses the </w:t>
      </w:r>
      <w:r w:rsidR="00D27BC7">
        <w:t xml:space="preserve">law of trust and property, family law, contract law, the law of tort and finally the mercantile law. </w:t>
      </w:r>
    </w:p>
    <w:p w:rsidR="006E43F6" w:rsidRDefault="00D27BC7" w:rsidP="006E43F6">
      <w:r>
        <w:t xml:space="preserve">     </w:t>
      </w:r>
      <w:r>
        <w:tab/>
        <w:t>Public law structurally deals with issues that practically affect the general state/public and society as a whole. It aims at preserving the interes</w:t>
      </w:r>
      <w:r>
        <w:t>ts of the people, a great deal.  Public law focuses much on achieving the mentioned objectives of a state</w:t>
      </w:r>
      <w:r w:rsidR="00701B56">
        <w:t xml:space="preserve"> (</w:t>
      </w:r>
      <w:r w:rsidR="00701B56">
        <w:rPr>
          <w:rFonts w:eastAsia="Times New Roman" w:cs="Times New Roman"/>
          <w:szCs w:val="24"/>
        </w:rPr>
        <w:t>Christensen et al., 2014)</w:t>
      </w:r>
      <w:r>
        <w:t>. Contrarily, civil law deals are much concerned with people’s social affairs and relationships that include relations betwe</w:t>
      </w:r>
      <w:r>
        <w:t xml:space="preserve">en wife and husband, child and parent and other forms of social relations. Therefore, both laws ensure that peace and order are generally exemplified in society thence promoting good relations. </w:t>
      </w:r>
    </w:p>
    <w:p w:rsidR="006E43F6" w:rsidRDefault="00D27BC7" w:rsidP="006E43F6">
      <w:r>
        <w:t xml:space="preserve">    </w:t>
      </w:r>
      <w:r>
        <w:tab/>
        <w:t>Moreover, some unique introductory guides and procedures</w:t>
      </w:r>
      <w:r>
        <w:t xml:space="preserve"> clearly explain how both public and private laws work. In public law, various sections prudently elaborate on how consultations need to be done. </w:t>
      </w:r>
      <w:r w:rsidR="007D342E">
        <w:t>In addition</w:t>
      </w:r>
      <w:r>
        <w:t>, clear outlines on ombudsman schemes and complaints procedures, judicial review and statutory appeals are</w:t>
      </w:r>
      <w:r>
        <w:t xml:space="preserve"> adequately explored</w:t>
      </w:r>
      <w:r w:rsidR="00F72C03">
        <w:t xml:space="preserve"> (</w:t>
      </w:r>
      <w:r w:rsidR="00F72C03">
        <w:rPr>
          <w:rFonts w:eastAsia="Times New Roman" w:cs="Times New Roman"/>
          <w:szCs w:val="24"/>
        </w:rPr>
        <w:t xml:space="preserve">Dicey, </w:t>
      </w:r>
      <w:r w:rsidR="00F72C03" w:rsidRPr="00E66F28">
        <w:rPr>
          <w:rFonts w:eastAsia="Times New Roman" w:cs="Times New Roman"/>
          <w:szCs w:val="24"/>
        </w:rPr>
        <w:t>2013)</w:t>
      </w:r>
      <w:r>
        <w:t xml:space="preserve">. For instance, to make valid complaints to a public body (public law), there are specific procedures that need to be followed. For example, there is a need for an individual to make their complaint </w:t>
      </w:r>
      <w:r>
        <w:lastRenderedPageBreak/>
        <w:t>first, whereby they are</w:t>
      </w:r>
      <w:r>
        <w:t xml:space="preserve"> given tips on how to get their results. Afterward, they wait to be given the outcome in which they can accept or appeal if not satisfied with the actual results. </w:t>
      </w:r>
    </w:p>
    <w:p w:rsidR="006E43F6" w:rsidRDefault="00D27BC7" w:rsidP="006E43F6">
      <w:r>
        <w:t xml:space="preserve">    </w:t>
      </w:r>
      <w:r>
        <w:tab/>
        <w:t xml:space="preserve">In America, on the other hand, civil/private law denotes to the common </w:t>
      </w:r>
      <w:r w:rsidR="00E667E8">
        <w:t>law, which</w:t>
      </w:r>
      <w:r>
        <w:t xml:space="preserve"> critic</w:t>
      </w:r>
      <w:r>
        <w:t>ally relies on the prior decisions of the court to determine the case outcomes. In this case, the dominant principle is ‘Stare Decisis’ which depicts that the lawsuit outcomes depend on the results of the previous similar cases</w:t>
      </w:r>
      <w:r w:rsidR="00BF33B5">
        <w:t xml:space="preserve"> (</w:t>
      </w:r>
      <w:r w:rsidR="00BF33B5">
        <w:rPr>
          <w:rFonts w:eastAsia="Times New Roman" w:cs="Times New Roman"/>
          <w:szCs w:val="24"/>
        </w:rPr>
        <w:t xml:space="preserve">Geddes &amp; Wagner, </w:t>
      </w:r>
      <w:r w:rsidR="00BF33B5" w:rsidRPr="00E66F28">
        <w:rPr>
          <w:rFonts w:eastAsia="Times New Roman" w:cs="Times New Roman"/>
          <w:szCs w:val="24"/>
        </w:rPr>
        <w:t>2013)</w:t>
      </w:r>
      <w:r>
        <w:t xml:space="preserve">. In </w:t>
      </w:r>
      <w:r>
        <w:t xml:space="preserve">private law, the </w:t>
      </w:r>
      <w:r w:rsidR="00E667E8">
        <w:t>injured person whereby they file a complaint brings the lawsuit forth</w:t>
      </w:r>
      <w:r>
        <w:t>. However, it is the obsolete responsibility of the government to decide whether the criminal charges need to be filed. A preponderance of the evidence is required</w:t>
      </w:r>
      <w:r>
        <w:t xml:space="preserve"> as proof in a civil/private law case. In other words, little evidence is necessary for the prosecution to take its course in private law. </w:t>
      </w:r>
    </w:p>
    <w:p w:rsidR="006E43F6" w:rsidRDefault="00D27BC7" w:rsidP="006E43F6">
      <w:r>
        <w:t xml:space="preserve">    </w:t>
      </w:r>
      <w:r>
        <w:tab/>
        <w:t>It is prudent to note that the sole purpose of private law is to enhance dispute resolution and subsequently pr</w:t>
      </w:r>
      <w:r>
        <w:t xml:space="preserve">ovide compensation for an individual(s) injured by another person’s act of behavior. There is no appealing in private law; the judgment made by the authority is tentatively final. On the other hand, public law is crucial since it gives unifies the unequal </w:t>
      </w:r>
      <w:r>
        <w:t>relationship between the public and the government</w:t>
      </w:r>
      <w:r w:rsidR="00CA39D6">
        <w:t xml:space="preserve"> (</w:t>
      </w:r>
      <w:r w:rsidR="00CA39D6" w:rsidRPr="00E66F28">
        <w:rPr>
          <w:rFonts w:eastAsia="Times New Roman" w:cs="Times New Roman"/>
          <w:szCs w:val="24"/>
        </w:rPr>
        <w:t>Machado</w:t>
      </w:r>
      <w:r w:rsidR="00CA39D6">
        <w:rPr>
          <w:rFonts w:eastAsia="Times New Roman" w:cs="Times New Roman"/>
          <w:szCs w:val="24"/>
        </w:rPr>
        <w:t xml:space="preserve"> &amp; De Oliver, </w:t>
      </w:r>
      <w:r w:rsidR="00CA39D6" w:rsidRPr="00E66F28">
        <w:rPr>
          <w:rFonts w:eastAsia="Times New Roman" w:cs="Times New Roman"/>
          <w:szCs w:val="24"/>
        </w:rPr>
        <w:t>2014</w:t>
      </w:r>
      <w:r w:rsidR="00CA39D6">
        <w:rPr>
          <w:rFonts w:eastAsia="Times New Roman" w:cs="Times New Roman"/>
          <w:szCs w:val="24"/>
        </w:rPr>
        <w:t>)</w:t>
      </w:r>
      <w:r>
        <w:t>. In other words, the government is the sole body that has the obligation of making decisions on the actual rights of the people thus enforcing them to act within the law. Concer</w:t>
      </w:r>
      <w:r>
        <w:t xml:space="preserve">ning public law, individuals have the rights to ask for judicial review if only they are unsatisfied with the authoritative body’s decisions. </w:t>
      </w:r>
    </w:p>
    <w:p w:rsidR="006E43F6" w:rsidRDefault="00D27BC7" w:rsidP="006E43F6">
      <w:r>
        <w:t xml:space="preserve">    </w:t>
      </w:r>
      <w:r>
        <w:t xml:space="preserve"> Besides, both Public and private law has a purpose in government. However, there are various advantages and disadvantages for each of the law system. Depending on the actual Congress goal in law enactment, public laws are quite advantageous when comparing</w:t>
      </w:r>
      <w:r>
        <w:t xml:space="preserve"> to private law. In this case, civil law critically </w:t>
      </w:r>
      <w:r w:rsidR="00E667E8">
        <w:t>affects</w:t>
      </w:r>
      <w:r>
        <w:t xml:space="preserve"> a more extensive group directly as opposed to private law that </w:t>
      </w:r>
      <w:r w:rsidR="00E667E8">
        <w:lastRenderedPageBreak/>
        <w:t>influences</w:t>
      </w:r>
      <w:r>
        <w:t xml:space="preserve"> only an individual. For instance, in Public health and ARRA; public laws are quite essential since they create broad impacts </w:t>
      </w:r>
      <w:r>
        <w:t>on the people in the USA. Public law allows an individual in the US to contribute adequately to the decision-making process of a public body. Besides, an individual may use the civil law top challenge decisions that have been made. Federal law significantl</w:t>
      </w:r>
      <w:r>
        <w:t xml:space="preserve">y allows a civilian to challenge the actual failures of a public body to make individual circumspective decisions.  </w:t>
      </w:r>
    </w:p>
    <w:p w:rsidR="006E43F6" w:rsidRDefault="00D27BC7" w:rsidP="006E43F6">
      <w:pPr>
        <w:ind w:firstLine="720"/>
      </w:pPr>
      <w:r>
        <w:t>Similarly, concerning private law, the advantages model dominates. Currently, in the United States, private law is regarded as economic inc</w:t>
      </w:r>
      <w:r>
        <w:t>entives systems that purely maximize the actual of advantageous episodes/occurrences thence minimizing the disadvantageous costs. The advantage arises in Private law when there is involvement of specific parties. In this case, an individual has room for in</w:t>
      </w:r>
      <w:r>
        <w:t>itiating court actions for the sole purpose of protecting their statutory rights, which is not possible in public laws.  For instance, the civil law that deals with veterans’ benefits in the US depict that a vet needs to initiate an action to get the benef</w:t>
      </w:r>
      <w:r>
        <w:t xml:space="preserve">its if they do not get. </w:t>
      </w:r>
    </w:p>
    <w:p w:rsidR="006E43F6" w:rsidRDefault="00D27BC7" w:rsidP="006E43F6">
      <w:pPr>
        <w:ind w:firstLine="720"/>
      </w:pPr>
      <w:r>
        <w:t>Nevertheless, regardless of both public and private laws in the US being advantageous holistically, it is not a warranty for perfection. In other words, some problems are associated with both public and private laws. There are dist</w:t>
      </w:r>
      <w:r>
        <w:t>inct weaknesses that are related to private laws. While private laws allow individuals to sue about protecting their rights, at the same time the notion that America is a litigious society is fueled</w:t>
      </w:r>
      <w:r w:rsidR="00E97DB9">
        <w:t xml:space="preserve"> (</w:t>
      </w:r>
      <w:r w:rsidR="00E97DB9" w:rsidRPr="00E66F28">
        <w:rPr>
          <w:rFonts w:eastAsia="Times New Roman" w:cs="Times New Roman"/>
          <w:szCs w:val="24"/>
        </w:rPr>
        <w:t>Rosen</w:t>
      </w:r>
      <w:r w:rsidR="00E97DB9">
        <w:rPr>
          <w:rFonts w:eastAsia="Times New Roman" w:cs="Times New Roman"/>
          <w:szCs w:val="24"/>
        </w:rPr>
        <w:t xml:space="preserve">bloom &amp; Goldman, </w:t>
      </w:r>
      <w:r w:rsidR="00E97DB9" w:rsidRPr="00E66F28">
        <w:rPr>
          <w:rFonts w:eastAsia="Times New Roman" w:cs="Times New Roman"/>
          <w:szCs w:val="24"/>
        </w:rPr>
        <w:t>2009)</w:t>
      </w:r>
      <w:r>
        <w:t xml:space="preserve">. With this respect, private </w:t>
      </w:r>
      <w:r>
        <w:t xml:space="preserve">laws are fond of going too far in terms of creating individual rights that in this case can be litigated. </w:t>
      </w:r>
    </w:p>
    <w:p w:rsidR="006E43F6" w:rsidRDefault="00D27BC7" w:rsidP="006E43F6">
      <w:pPr>
        <w:ind w:firstLine="720"/>
      </w:pPr>
      <w:r>
        <w:t xml:space="preserve">Additionally, just as private laws can extend and go too far in allowing lawsuits, also public laws may extend the boundaries in disallowing them. </w:t>
      </w:r>
      <w:r>
        <w:t xml:space="preserve">For instance, environmental law is one section of public laws in the United States that many attempts at lawsuits by people </w:t>
      </w:r>
      <w:r>
        <w:lastRenderedPageBreak/>
        <w:t xml:space="preserve">(individuals) have failed terribly. Notably, the 1992 case of Lujan vs. the Defenders of Wildlife pointed out the real difficulties </w:t>
      </w:r>
      <w:r>
        <w:t xml:space="preserve">for people who want to enhance lawsuit to defend and protect the environment. In the Lujan vs. Defenders of Wildlife case (1992), plaintiffs initiated for a change in regulation to protect and preserve the vital ecosystems </w:t>
      </w:r>
      <w:r w:rsidR="00E667E8">
        <w:t>and</w:t>
      </w:r>
      <w:r>
        <w:t xml:space="preserve"> wildlife habitats. Howev</w:t>
      </w:r>
      <w:r>
        <w:t>er, the US court did not allow them to implement their actions because the authentic elements required are not present in the private laws</w:t>
      </w:r>
    </w:p>
    <w:p w:rsidR="006E43F6" w:rsidRDefault="00D27BC7" w:rsidP="006E43F6">
      <w:pPr>
        <w:ind w:firstLine="720"/>
      </w:pPr>
      <w:r>
        <w:t>In conclusion, it is evident that both public and private laws are quite beneficial in the United States. Other natio</w:t>
      </w:r>
      <w:r>
        <w:t xml:space="preserve">ns like Indonesia and Singapore have struggled in bringing public and private laws to equilibrium. One allows for greater individual rights while the other allows for greater federal control. Warily, both the use of public and private laws has critics and </w:t>
      </w:r>
      <w:r>
        <w:t xml:space="preserve">supporters on equal measures. </w:t>
      </w:r>
    </w:p>
    <w:p w:rsidR="00573203" w:rsidRDefault="00D27BC7" w:rsidP="006E43F6">
      <w:r>
        <w:t xml:space="preserve">    </w:t>
      </w:r>
    </w:p>
    <w:p w:rsidR="00DD6059" w:rsidRDefault="00DD6059" w:rsidP="006E43F6"/>
    <w:p w:rsidR="00DD6059" w:rsidRDefault="00DD6059" w:rsidP="006E43F6"/>
    <w:p w:rsidR="00DD6059" w:rsidRDefault="00DD6059" w:rsidP="006E43F6"/>
    <w:p w:rsidR="00DD6059" w:rsidRDefault="00DD6059" w:rsidP="006E43F6"/>
    <w:p w:rsidR="00DD6059" w:rsidRDefault="00DD6059" w:rsidP="006E43F6"/>
    <w:p w:rsidR="00DD6059" w:rsidRDefault="00DD6059" w:rsidP="006E43F6"/>
    <w:p w:rsidR="00DD6059" w:rsidRDefault="00DD6059" w:rsidP="006E43F6"/>
    <w:p w:rsidR="00DD6059" w:rsidRDefault="00DD6059" w:rsidP="006E43F6"/>
    <w:p w:rsidR="00553FA3" w:rsidRDefault="00553FA3" w:rsidP="006E43F6"/>
    <w:p w:rsidR="00DD6059" w:rsidRDefault="00DD6059" w:rsidP="006E43F6"/>
    <w:p w:rsidR="00BC3B07" w:rsidRDefault="00BC3B07" w:rsidP="00BC3B07">
      <w:pPr>
        <w:contextualSpacing/>
      </w:pPr>
    </w:p>
    <w:p w:rsidR="00DD6059" w:rsidRDefault="00D27BC7" w:rsidP="00BC3B07">
      <w:pPr>
        <w:contextualSpacing/>
        <w:jc w:val="center"/>
      </w:pPr>
      <w:r>
        <w:lastRenderedPageBreak/>
        <w:t>References</w:t>
      </w:r>
    </w:p>
    <w:p w:rsidR="00E66F28" w:rsidRDefault="00D27BC7" w:rsidP="00E66F28">
      <w:pPr>
        <w:ind w:left="1440" w:hanging="720"/>
        <w:contextualSpacing/>
        <w:rPr>
          <w:rFonts w:eastAsia="Times New Roman" w:cs="Times New Roman"/>
          <w:szCs w:val="24"/>
        </w:rPr>
      </w:pPr>
      <w:r w:rsidRPr="00E66F28">
        <w:rPr>
          <w:rFonts w:eastAsia="Times New Roman" w:cs="Times New Roman"/>
          <w:szCs w:val="24"/>
        </w:rPr>
        <w:t xml:space="preserve">Christensen, T., Lægreid, P., Roness, P. G., &amp; Røvik, K. A. (2014). </w:t>
      </w:r>
      <w:r w:rsidRPr="00E66F28">
        <w:rPr>
          <w:rFonts w:eastAsia="Times New Roman" w:cs="Times New Roman"/>
          <w:i/>
          <w:iCs/>
          <w:szCs w:val="24"/>
        </w:rPr>
        <w:t>Organization theory and the public sector: Instrument, culture, and myth</w:t>
      </w:r>
      <w:r w:rsidRPr="00E66F28">
        <w:rPr>
          <w:rFonts w:eastAsia="Times New Roman" w:cs="Times New Roman"/>
          <w:szCs w:val="24"/>
        </w:rPr>
        <w:t>. Routledge.</w:t>
      </w:r>
    </w:p>
    <w:p w:rsidR="00E66F28" w:rsidRDefault="00D27BC7" w:rsidP="00E66F28">
      <w:pPr>
        <w:ind w:left="1440" w:hanging="720"/>
        <w:contextualSpacing/>
        <w:rPr>
          <w:rFonts w:eastAsia="Times New Roman" w:cs="Times New Roman"/>
          <w:szCs w:val="24"/>
        </w:rPr>
      </w:pPr>
      <w:r w:rsidRPr="00E66F28">
        <w:rPr>
          <w:rFonts w:eastAsia="Times New Roman" w:cs="Times New Roman"/>
          <w:szCs w:val="24"/>
        </w:rPr>
        <w:t xml:space="preserve">Dicey, A. V. (2013). </w:t>
      </w:r>
      <w:r w:rsidRPr="00E66F28">
        <w:rPr>
          <w:rFonts w:eastAsia="Times New Roman" w:cs="Times New Roman"/>
          <w:i/>
          <w:iCs/>
          <w:szCs w:val="24"/>
        </w:rPr>
        <w:t>The law of the constitut</w:t>
      </w:r>
      <w:r w:rsidRPr="00E66F28">
        <w:rPr>
          <w:rFonts w:eastAsia="Times New Roman" w:cs="Times New Roman"/>
          <w:i/>
          <w:iCs/>
          <w:szCs w:val="24"/>
        </w:rPr>
        <w:t>ion</w:t>
      </w:r>
      <w:r w:rsidRPr="00E66F28">
        <w:rPr>
          <w:rFonts w:eastAsia="Times New Roman" w:cs="Times New Roman"/>
          <w:szCs w:val="24"/>
        </w:rPr>
        <w:t xml:space="preserve"> (Vol. 1). OUP Oxford.</w:t>
      </w:r>
    </w:p>
    <w:p w:rsidR="00E66F28" w:rsidRDefault="00D27BC7" w:rsidP="00E66F28">
      <w:pPr>
        <w:ind w:left="1440" w:hanging="720"/>
        <w:contextualSpacing/>
        <w:rPr>
          <w:rFonts w:eastAsia="Times New Roman" w:cs="Times New Roman"/>
          <w:szCs w:val="24"/>
        </w:rPr>
      </w:pPr>
      <w:r w:rsidRPr="00E66F28">
        <w:rPr>
          <w:rFonts w:eastAsia="Times New Roman" w:cs="Times New Roman"/>
          <w:szCs w:val="24"/>
        </w:rPr>
        <w:t xml:space="preserve">Geddes, R. R., &amp; Wagner, B. L. (2013). Why do US states adopt public-private partnership enabling legislation?. </w:t>
      </w:r>
      <w:r w:rsidRPr="00E66F28">
        <w:rPr>
          <w:rFonts w:eastAsia="Times New Roman" w:cs="Times New Roman"/>
          <w:i/>
          <w:iCs/>
          <w:szCs w:val="24"/>
        </w:rPr>
        <w:t>Journal of Urban Economics</w:t>
      </w:r>
      <w:r w:rsidRPr="00E66F28">
        <w:rPr>
          <w:rFonts w:eastAsia="Times New Roman" w:cs="Times New Roman"/>
          <w:szCs w:val="24"/>
        </w:rPr>
        <w:t xml:space="preserve">, </w:t>
      </w:r>
      <w:r w:rsidRPr="00E66F28">
        <w:rPr>
          <w:rFonts w:eastAsia="Times New Roman" w:cs="Times New Roman"/>
          <w:i/>
          <w:iCs/>
          <w:szCs w:val="24"/>
        </w:rPr>
        <w:t>78</w:t>
      </w:r>
      <w:r w:rsidRPr="00E66F28">
        <w:rPr>
          <w:rFonts w:eastAsia="Times New Roman" w:cs="Times New Roman"/>
          <w:szCs w:val="24"/>
        </w:rPr>
        <w:t>, 30-41.</w:t>
      </w:r>
    </w:p>
    <w:p w:rsidR="00E66F28" w:rsidRPr="00E66F28" w:rsidRDefault="00D27BC7" w:rsidP="006827EB">
      <w:pPr>
        <w:ind w:left="1440" w:hanging="720"/>
        <w:contextualSpacing/>
        <w:rPr>
          <w:rFonts w:eastAsia="Times New Roman" w:cs="Times New Roman"/>
          <w:szCs w:val="24"/>
        </w:rPr>
      </w:pPr>
      <w:r w:rsidRPr="00E66F28">
        <w:rPr>
          <w:rFonts w:eastAsia="Times New Roman" w:cs="Times New Roman"/>
          <w:szCs w:val="24"/>
        </w:rPr>
        <w:t>Machado, A. L., &amp; De Oliver, J. M. P. (2014). A Legal Ontology of Relationships</w:t>
      </w:r>
      <w:r w:rsidRPr="00E66F28">
        <w:rPr>
          <w:rFonts w:eastAsia="Times New Roman" w:cs="Times New Roman"/>
          <w:szCs w:val="24"/>
        </w:rPr>
        <w:t xml:space="preserve"> for Civil Law System. In </w:t>
      </w:r>
      <w:r w:rsidRPr="00E66F28">
        <w:rPr>
          <w:rFonts w:eastAsia="Times New Roman" w:cs="Times New Roman"/>
          <w:i/>
          <w:iCs/>
          <w:szCs w:val="24"/>
        </w:rPr>
        <w:t>ONTO. COM/ODISE@ FOIS</w:t>
      </w:r>
      <w:r w:rsidRPr="00E66F28">
        <w:rPr>
          <w:rFonts w:eastAsia="Times New Roman" w:cs="Times New Roman"/>
          <w:szCs w:val="24"/>
        </w:rPr>
        <w:t>.</w:t>
      </w:r>
    </w:p>
    <w:p w:rsidR="00E66F28" w:rsidRPr="00E66F28" w:rsidRDefault="00D27BC7" w:rsidP="00E66F28">
      <w:pPr>
        <w:ind w:left="1440" w:hanging="720"/>
        <w:contextualSpacing/>
        <w:rPr>
          <w:rFonts w:eastAsia="Times New Roman" w:cs="Times New Roman"/>
          <w:szCs w:val="24"/>
        </w:rPr>
      </w:pPr>
      <w:r w:rsidRPr="00E66F28">
        <w:rPr>
          <w:rFonts w:eastAsia="Times New Roman" w:cs="Times New Roman"/>
          <w:szCs w:val="24"/>
        </w:rPr>
        <w:t xml:space="preserve">Rosenbloom, D. H., &amp; Goldman, D. D. (2009). </w:t>
      </w:r>
      <w:r w:rsidRPr="00E66F28">
        <w:rPr>
          <w:rFonts w:eastAsia="Times New Roman" w:cs="Times New Roman"/>
          <w:i/>
          <w:iCs/>
          <w:szCs w:val="24"/>
        </w:rPr>
        <w:t>Public administration: Understanding management, politics, and law in the public sector</w:t>
      </w:r>
      <w:r w:rsidRPr="00E66F28">
        <w:rPr>
          <w:rFonts w:eastAsia="Times New Roman" w:cs="Times New Roman"/>
          <w:szCs w:val="24"/>
        </w:rPr>
        <w:t xml:space="preserve"> (pp. 507-538). New York, NY: McGraw-Hill.</w:t>
      </w:r>
    </w:p>
    <w:p w:rsidR="00DD6059" w:rsidRDefault="00DD6059" w:rsidP="00E66F28">
      <w:pPr>
        <w:ind w:left="1440" w:hanging="720"/>
        <w:contextualSpacing/>
      </w:pPr>
    </w:p>
    <w:p w:rsidR="00DD6059" w:rsidRPr="006E43F6" w:rsidRDefault="00DD6059" w:rsidP="00E66F28">
      <w:pPr>
        <w:ind w:left="1440" w:hanging="720"/>
        <w:contextualSpacing/>
      </w:pPr>
    </w:p>
    <w:sectPr w:rsidR="00DD6059" w:rsidRPr="006E43F6" w:rsidSect="00BC3B0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BC7" w:rsidRDefault="00D27BC7" w:rsidP="00FA790B">
      <w:pPr>
        <w:spacing w:line="240" w:lineRule="auto"/>
      </w:pPr>
      <w:r>
        <w:separator/>
      </w:r>
    </w:p>
  </w:endnote>
  <w:endnote w:type="continuationSeparator" w:id="1">
    <w:p w:rsidR="00D27BC7" w:rsidRDefault="00D27BC7" w:rsidP="00FA790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BC7" w:rsidRDefault="00D27BC7" w:rsidP="00FA790B">
      <w:pPr>
        <w:spacing w:line="240" w:lineRule="auto"/>
      </w:pPr>
      <w:r>
        <w:separator/>
      </w:r>
    </w:p>
  </w:footnote>
  <w:footnote w:type="continuationSeparator" w:id="1">
    <w:p w:rsidR="00D27BC7" w:rsidRDefault="00D27BC7" w:rsidP="00FA790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2535864"/>
      <w:docPartObj>
        <w:docPartGallery w:val="Page Numbers (Top of Page)"/>
        <w:docPartUnique/>
      </w:docPartObj>
    </w:sdtPr>
    <w:sdtContent>
      <w:p w:rsidR="00BC3B07" w:rsidRDefault="00D27BC7" w:rsidP="005C0671">
        <w:pPr>
          <w:pStyle w:val="Header"/>
        </w:pPr>
        <w:r>
          <w:t xml:space="preserve">PRIVATE </w:t>
        </w:r>
        <w:r w:rsidR="005C0671">
          <w:t xml:space="preserve">AND PUBLIC </w:t>
        </w:r>
        <w:r>
          <w:t>LAW</w:t>
        </w:r>
        <w:r>
          <w:tab/>
        </w:r>
        <w:r>
          <w:tab/>
        </w:r>
        <w:r w:rsidR="00FA790B">
          <w:fldChar w:fldCharType="begin"/>
        </w:r>
        <w:r>
          <w:instrText xml:space="preserve"> PAGE   \* MERGEFORMAT </w:instrText>
        </w:r>
        <w:r w:rsidR="00FA790B">
          <w:fldChar w:fldCharType="separate"/>
        </w:r>
        <w:r w:rsidR="006827EB">
          <w:rPr>
            <w:noProof/>
          </w:rPr>
          <w:t>6</w:t>
        </w:r>
        <w:r w:rsidR="00FA790B">
          <w:rPr>
            <w:noProof/>
          </w:rPr>
          <w:fldChar w:fldCharType="end"/>
        </w:r>
      </w:p>
    </w:sdtContent>
  </w:sdt>
  <w:p w:rsidR="00BC3B07" w:rsidRDefault="00BC3B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2535860"/>
      <w:docPartObj>
        <w:docPartGallery w:val="Page Numbers (Top of Page)"/>
        <w:docPartUnique/>
      </w:docPartObj>
    </w:sdtPr>
    <w:sdtContent>
      <w:p w:rsidR="00BC3B07" w:rsidRDefault="00DE3846">
        <w:pPr>
          <w:pStyle w:val="Header"/>
          <w:jc w:val="right"/>
        </w:pPr>
        <w:r>
          <w:t xml:space="preserve">Running head: </w:t>
        </w:r>
        <w:r w:rsidR="00D27BC7">
          <w:t xml:space="preserve">PRIVATE </w:t>
        </w:r>
        <w:r>
          <w:t xml:space="preserve">AND PUBLIC </w:t>
        </w:r>
        <w:r w:rsidR="00D27BC7">
          <w:t>LAW</w:t>
        </w:r>
        <w:r w:rsidR="00D27BC7">
          <w:tab/>
        </w:r>
        <w:r w:rsidR="00D27BC7">
          <w:tab/>
        </w:r>
        <w:r w:rsidR="00FA790B">
          <w:fldChar w:fldCharType="begin"/>
        </w:r>
        <w:r w:rsidR="00D27BC7">
          <w:instrText xml:space="preserve"> PAGE   \* MERGEFORMAT </w:instrText>
        </w:r>
        <w:r w:rsidR="00FA790B">
          <w:fldChar w:fldCharType="separate"/>
        </w:r>
        <w:r w:rsidR="00D964B4">
          <w:rPr>
            <w:noProof/>
          </w:rPr>
          <w:t>1</w:t>
        </w:r>
        <w:r w:rsidR="00FA790B">
          <w:rPr>
            <w:noProof/>
          </w:rPr>
          <w:fldChar w:fldCharType="end"/>
        </w:r>
      </w:p>
    </w:sdtContent>
  </w:sdt>
  <w:p w:rsidR="00BC3B07" w:rsidRDefault="00BC3B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61AF4"/>
    <w:rsid w:val="00064F79"/>
    <w:rsid w:val="00124542"/>
    <w:rsid w:val="00133A57"/>
    <w:rsid w:val="00192DCF"/>
    <w:rsid w:val="00286CCA"/>
    <w:rsid w:val="002A0456"/>
    <w:rsid w:val="002D5DA3"/>
    <w:rsid w:val="002F40E1"/>
    <w:rsid w:val="0032222C"/>
    <w:rsid w:val="003242EE"/>
    <w:rsid w:val="00326A67"/>
    <w:rsid w:val="00390388"/>
    <w:rsid w:val="003940BB"/>
    <w:rsid w:val="003C5281"/>
    <w:rsid w:val="003E3C3E"/>
    <w:rsid w:val="004943A5"/>
    <w:rsid w:val="00502CD1"/>
    <w:rsid w:val="00553FA3"/>
    <w:rsid w:val="00557390"/>
    <w:rsid w:val="00573203"/>
    <w:rsid w:val="005C0671"/>
    <w:rsid w:val="005F2B2D"/>
    <w:rsid w:val="006827EB"/>
    <w:rsid w:val="006B26CF"/>
    <w:rsid w:val="006D774B"/>
    <w:rsid w:val="006E11BC"/>
    <w:rsid w:val="006E43F6"/>
    <w:rsid w:val="006E6D40"/>
    <w:rsid w:val="00701B56"/>
    <w:rsid w:val="00707590"/>
    <w:rsid w:val="00717D1B"/>
    <w:rsid w:val="00745F22"/>
    <w:rsid w:val="00761AF4"/>
    <w:rsid w:val="007D342E"/>
    <w:rsid w:val="008432BB"/>
    <w:rsid w:val="008E0AC1"/>
    <w:rsid w:val="00930159"/>
    <w:rsid w:val="00990FBD"/>
    <w:rsid w:val="00A272EE"/>
    <w:rsid w:val="00A42D87"/>
    <w:rsid w:val="00A4479D"/>
    <w:rsid w:val="00A677D5"/>
    <w:rsid w:val="00AE3D5F"/>
    <w:rsid w:val="00AF5609"/>
    <w:rsid w:val="00B64C03"/>
    <w:rsid w:val="00B67E29"/>
    <w:rsid w:val="00B74611"/>
    <w:rsid w:val="00BB42B1"/>
    <w:rsid w:val="00BC3B07"/>
    <w:rsid w:val="00BF33B5"/>
    <w:rsid w:val="00C06F75"/>
    <w:rsid w:val="00C43F00"/>
    <w:rsid w:val="00CA39D6"/>
    <w:rsid w:val="00CA428A"/>
    <w:rsid w:val="00CE458D"/>
    <w:rsid w:val="00D01AA8"/>
    <w:rsid w:val="00D12519"/>
    <w:rsid w:val="00D27BC7"/>
    <w:rsid w:val="00D364D7"/>
    <w:rsid w:val="00D6554B"/>
    <w:rsid w:val="00D907E7"/>
    <w:rsid w:val="00D964B4"/>
    <w:rsid w:val="00DB73AC"/>
    <w:rsid w:val="00DC3179"/>
    <w:rsid w:val="00DD6059"/>
    <w:rsid w:val="00DE3846"/>
    <w:rsid w:val="00DE45B4"/>
    <w:rsid w:val="00E667E8"/>
    <w:rsid w:val="00E66F28"/>
    <w:rsid w:val="00E97DB9"/>
    <w:rsid w:val="00EA1486"/>
    <w:rsid w:val="00EC2B6F"/>
    <w:rsid w:val="00F427C5"/>
    <w:rsid w:val="00F72C03"/>
    <w:rsid w:val="00FA790B"/>
    <w:rsid w:val="00FB768D"/>
    <w:rsid w:val="00FF6F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4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B07"/>
    <w:pPr>
      <w:tabs>
        <w:tab w:val="center" w:pos="4680"/>
        <w:tab w:val="right" w:pos="9360"/>
      </w:tabs>
      <w:spacing w:line="240" w:lineRule="auto"/>
    </w:pPr>
  </w:style>
  <w:style w:type="character" w:customStyle="1" w:styleId="HeaderChar">
    <w:name w:val="Header Char"/>
    <w:basedOn w:val="DefaultParagraphFont"/>
    <w:link w:val="Header"/>
    <w:uiPriority w:val="99"/>
    <w:rsid w:val="00BC3B07"/>
  </w:style>
  <w:style w:type="paragraph" w:styleId="Footer">
    <w:name w:val="footer"/>
    <w:basedOn w:val="Normal"/>
    <w:link w:val="FooterChar"/>
    <w:uiPriority w:val="99"/>
    <w:semiHidden/>
    <w:unhideWhenUsed/>
    <w:rsid w:val="00BC3B0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C3B0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6</Pages>
  <Words>1174</Words>
  <Characters>6696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84</cp:revision>
  <dcterms:created xsi:type="dcterms:W3CDTF">2019-05-12T05:28:00Z</dcterms:created>
  <dcterms:modified xsi:type="dcterms:W3CDTF">2019-05-12T15:17:00Z</dcterms:modified>
</cp:coreProperties>
</file>